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8D2DD7" w:rsidRPr="003A6EFD" w:rsidTr="00E04A5A">
        <w:trPr>
          <w:trHeight w:val="1886"/>
          <w:jc w:val="center"/>
        </w:trPr>
        <w:tc>
          <w:tcPr>
            <w:tcW w:w="4647" w:type="dxa"/>
            <w:tcBorders>
              <w:top w:val="nil"/>
              <w:left w:val="nil"/>
              <w:bottom w:val="nil"/>
              <w:right w:val="nil"/>
            </w:tcBorders>
          </w:tcPr>
          <w:p w:rsidR="008D2DD7" w:rsidRPr="003A6EFD" w:rsidRDefault="008D2DD7" w:rsidP="00E04A5A">
            <w:pPr>
              <w:pStyle w:val="Heading1"/>
              <w:jc w:val="center"/>
            </w:pPr>
            <w:r w:rsidRPr="003A6EFD">
              <w:t>UBND THÀNH PHỐ HỒ CHÍ MINH</w:t>
            </w:r>
          </w:p>
          <w:p w:rsidR="008D2DD7" w:rsidRPr="00B668AB" w:rsidRDefault="008D2DD7" w:rsidP="00E04A5A">
            <w:pPr>
              <w:spacing w:line="276" w:lineRule="auto"/>
              <w:jc w:val="center"/>
              <w:rPr>
                <w:b/>
                <w:bCs/>
                <w:sz w:val="26"/>
              </w:rPr>
            </w:pPr>
            <w:r w:rsidRPr="00B668AB">
              <w:rPr>
                <w:b/>
                <w:sz w:val="26"/>
              </w:rPr>
              <w:t>TRƯỜNG CAO ĐẲNG KỸ THUẬT</w:t>
            </w:r>
          </w:p>
          <w:p w:rsidR="008D2DD7" w:rsidRPr="00B668AB" w:rsidRDefault="008D2DD7" w:rsidP="00E04A5A">
            <w:pPr>
              <w:spacing w:line="276" w:lineRule="auto"/>
              <w:jc w:val="center"/>
              <w:rPr>
                <w:b/>
                <w:sz w:val="26"/>
                <w:szCs w:val="26"/>
              </w:rPr>
            </w:pPr>
            <w:r w:rsidRPr="00B668AB">
              <w:rPr>
                <w:b/>
                <w:sz w:val="26"/>
                <w:szCs w:val="26"/>
              </w:rPr>
              <w:t>LÝ TỰ TRỌNG TP. HỒ CHÍ MINH</w:t>
            </w:r>
          </w:p>
          <w:p w:rsidR="008D2DD7" w:rsidRPr="003A6EFD" w:rsidRDefault="008D2DD7" w:rsidP="00E04A5A">
            <w:pPr>
              <w:spacing w:line="276" w:lineRule="auto"/>
              <w:rPr>
                <w:sz w:val="26"/>
                <w:szCs w:val="26"/>
              </w:rPr>
            </w:pPr>
            <w:r w:rsidRPr="003A6EFD">
              <w:rPr>
                <w:noProof/>
                <w:sz w:val="26"/>
                <w:lang w:val="vi-VN" w:eastAsia="vi-VN"/>
              </w:rPr>
              <mc:AlternateContent>
                <mc:Choice Requires="wps">
                  <w:drawing>
                    <wp:anchor distT="0" distB="0" distL="114300" distR="114300" simplePos="0" relativeHeight="251660288" behindDoc="0" locked="0" layoutInCell="1" allowOverlap="1" wp14:anchorId="6EE6B626" wp14:editId="23E6BD9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8D2DD7" w:rsidRPr="003A6EFD" w:rsidRDefault="008D2DD7" w:rsidP="00E04A5A">
            <w:pPr>
              <w:spacing w:line="276" w:lineRule="auto"/>
              <w:ind w:left="252"/>
              <w:rPr>
                <w:sz w:val="26"/>
                <w:szCs w:val="26"/>
              </w:rPr>
            </w:pPr>
          </w:p>
        </w:tc>
        <w:tc>
          <w:tcPr>
            <w:tcW w:w="5954" w:type="dxa"/>
            <w:tcBorders>
              <w:top w:val="nil"/>
              <w:left w:val="nil"/>
              <w:bottom w:val="nil"/>
              <w:right w:val="nil"/>
            </w:tcBorders>
          </w:tcPr>
          <w:p w:rsidR="008D2DD7" w:rsidRPr="00B668AB" w:rsidRDefault="008D2DD7" w:rsidP="00E04A5A">
            <w:pPr>
              <w:pStyle w:val="Heading1"/>
              <w:spacing w:line="276" w:lineRule="auto"/>
              <w:jc w:val="center"/>
              <w:rPr>
                <w:b/>
                <w:bCs/>
                <w:szCs w:val="26"/>
              </w:rPr>
            </w:pPr>
            <w:r w:rsidRPr="00B668AB">
              <w:rPr>
                <w:b/>
                <w:bCs/>
                <w:szCs w:val="26"/>
              </w:rPr>
              <w:t>CỘNG HOÀ XÃ HỘI CHỦ NGHĨA VIỆT NAM</w:t>
            </w:r>
          </w:p>
          <w:p w:rsidR="008D2DD7" w:rsidRPr="00B668AB" w:rsidRDefault="008D2DD7" w:rsidP="00E04A5A">
            <w:pPr>
              <w:pStyle w:val="Heading2"/>
              <w:spacing w:line="276" w:lineRule="auto"/>
              <w:jc w:val="center"/>
              <w:rPr>
                <w:b/>
                <w:sz w:val="26"/>
                <w:szCs w:val="26"/>
              </w:rPr>
            </w:pPr>
            <w:r w:rsidRPr="00B668AB">
              <w:rPr>
                <w:b/>
                <w:noProof/>
                <w:sz w:val="26"/>
                <w:szCs w:val="26"/>
                <w:lang w:val="vi-VN" w:eastAsia="vi-VN"/>
              </w:rPr>
              <mc:AlternateContent>
                <mc:Choice Requires="wps">
                  <w:drawing>
                    <wp:anchor distT="0" distB="0" distL="114300" distR="114300" simplePos="0" relativeHeight="251659264" behindDoc="0" locked="0" layoutInCell="1" allowOverlap="1" wp14:anchorId="21CB4A8E" wp14:editId="0EF7F4F8">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Pr="00B668AB">
              <w:rPr>
                <w:rFonts w:hint="eastAsia"/>
                <w:b/>
                <w:sz w:val="26"/>
                <w:szCs w:val="26"/>
              </w:rPr>
              <w:t>Đ</w:t>
            </w:r>
            <w:r w:rsidRPr="00B668AB">
              <w:rPr>
                <w:b/>
                <w:sz w:val="26"/>
                <w:szCs w:val="26"/>
              </w:rPr>
              <w:t>ộc Lập - Tự Do - Hạnh phúc</w:t>
            </w:r>
          </w:p>
          <w:p w:rsidR="008D2DD7" w:rsidRPr="003A6EFD" w:rsidRDefault="008D2DD7" w:rsidP="00E04A5A">
            <w:pPr>
              <w:spacing w:line="276" w:lineRule="auto"/>
              <w:rPr>
                <w:bCs/>
                <w:i/>
                <w:iCs/>
                <w:sz w:val="26"/>
                <w:szCs w:val="26"/>
              </w:rPr>
            </w:pPr>
          </w:p>
          <w:p w:rsidR="008D2DD7" w:rsidRPr="003A6EFD" w:rsidRDefault="008D2DD7" w:rsidP="00E04A5A">
            <w:pPr>
              <w:spacing w:line="276" w:lineRule="auto"/>
              <w:rPr>
                <w:bCs/>
                <w:i/>
                <w:iCs/>
                <w:sz w:val="28"/>
                <w:szCs w:val="26"/>
              </w:rPr>
            </w:pPr>
          </w:p>
          <w:p w:rsidR="008D2DD7" w:rsidRPr="003A6EFD" w:rsidRDefault="008D2DD7" w:rsidP="00E04A5A">
            <w:pPr>
              <w:spacing w:line="276" w:lineRule="auto"/>
              <w:rPr>
                <w:i/>
              </w:rPr>
            </w:pPr>
            <w:r w:rsidRPr="003A6EFD">
              <w:rPr>
                <w:i/>
                <w:sz w:val="26"/>
                <w:szCs w:val="26"/>
              </w:rPr>
              <w:t xml:space="preserve">Thành phố Hồ Chí Minh, ngày </w:t>
            </w:r>
            <w:r>
              <w:rPr>
                <w:i/>
                <w:sz w:val="26"/>
                <w:szCs w:val="26"/>
              </w:rPr>
              <w:t xml:space="preserve">  </w:t>
            </w:r>
            <w:r w:rsidRPr="003A6EFD">
              <w:rPr>
                <w:i/>
                <w:sz w:val="26"/>
                <w:szCs w:val="26"/>
              </w:rPr>
              <w:t xml:space="preserve"> tháng </w:t>
            </w:r>
            <w:r>
              <w:rPr>
                <w:i/>
                <w:sz w:val="26"/>
                <w:szCs w:val="26"/>
              </w:rPr>
              <w:t xml:space="preserve">  </w:t>
            </w:r>
            <w:r w:rsidRPr="003A6EFD">
              <w:rPr>
                <w:i/>
                <w:sz w:val="26"/>
                <w:szCs w:val="26"/>
              </w:rPr>
              <w:t xml:space="preserve"> n</w:t>
            </w:r>
            <w:r w:rsidRPr="003A6EFD">
              <w:rPr>
                <w:rFonts w:hint="eastAsia"/>
                <w:i/>
                <w:sz w:val="26"/>
                <w:szCs w:val="26"/>
              </w:rPr>
              <w:t>ă</w:t>
            </w:r>
            <w:r w:rsidRPr="003A6EFD">
              <w:rPr>
                <w:i/>
                <w:sz w:val="26"/>
                <w:szCs w:val="26"/>
              </w:rPr>
              <w:t>m 201</w:t>
            </w:r>
            <w:r>
              <w:rPr>
                <w:i/>
                <w:sz w:val="26"/>
                <w:szCs w:val="26"/>
              </w:rPr>
              <w:t>5</w:t>
            </w:r>
          </w:p>
        </w:tc>
      </w:tr>
    </w:tbl>
    <w:p w:rsidR="00345650" w:rsidRDefault="008D2DD7" w:rsidP="008D2DD7">
      <w:pPr>
        <w:jc w:val="center"/>
        <w:rPr>
          <w:b/>
          <w:sz w:val="28"/>
          <w:szCs w:val="28"/>
        </w:rPr>
      </w:pPr>
      <w:r w:rsidRPr="008D2DD7">
        <w:rPr>
          <w:b/>
          <w:sz w:val="28"/>
          <w:szCs w:val="28"/>
        </w:rPr>
        <w:t>BÁ</w:t>
      </w:r>
      <w:r>
        <w:rPr>
          <w:b/>
          <w:sz w:val="28"/>
          <w:szCs w:val="28"/>
        </w:rPr>
        <w:t>O CÁO</w:t>
      </w:r>
    </w:p>
    <w:p w:rsidR="008D2DD7" w:rsidRDefault="008D2DD7" w:rsidP="008D2DD7">
      <w:pPr>
        <w:jc w:val="center"/>
        <w:rPr>
          <w:b/>
          <w:sz w:val="26"/>
          <w:szCs w:val="28"/>
        </w:rPr>
      </w:pPr>
      <w:r>
        <w:rPr>
          <w:b/>
          <w:sz w:val="26"/>
          <w:szCs w:val="28"/>
        </w:rPr>
        <w:t>Kết quả thực hiện chủ trương, chính sách của Đảng</w:t>
      </w:r>
    </w:p>
    <w:p w:rsidR="008D2DD7" w:rsidRDefault="008D2DD7" w:rsidP="008D2DD7">
      <w:pPr>
        <w:jc w:val="center"/>
        <w:rPr>
          <w:b/>
          <w:sz w:val="26"/>
          <w:szCs w:val="28"/>
        </w:rPr>
      </w:pPr>
      <w:r>
        <w:rPr>
          <w:b/>
          <w:sz w:val="26"/>
          <w:szCs w:val="28"/>
        </w:rPr>
        <w:t>và Nhà nước về xã hội hóa dịch vụ công giai đoạn 2006-2016</w:t>
      </w:r>
    </w:p>
    <w:p w:rsidR="008D2DD7" w:rsidRDefault="008D2DD7" w:rsidP="008D2DD7">
      <w:pPr>
        <w:jc w:val="center"/>
        <w:rPr>
          <w:b/>
          <w:sz w:val="26"/>
          <w:szCs w:val="28"/>
        </w:rPr>
      </w:pPr>
    </w:p>
    <w:p w:rsidR="008D2DD7" w:rsidRDefault="001F419E" w:rsidP="008D2DD7">
      <w:pPr>
        <w:jc w:val="both"/>
        <w:rPr>
          <w:b/>
          <w:sz w:val="26"/>
          <w:szCs w:val="28"/>
        </w:rPr>
      </w:pPr>
      <w:r>
        <w:rPr>
          <w:b/>
          <w:sz w:val="26"/>
          <w:szCs w:val="28"/>
        </w:rPr>
        <w:t>I. Các hoạt động xã hội hóa giáo dục và đào tạo tại Nhà trường giai đoạn 2006-2016:</w:t>
      </w:r>
    </w:p>
    <w:p w:rsidR="001F419E" w:rsidRDefault="001F419E" w:rsidP="008D2DD7">
      <w:pPr>
        <w:jc w:val="both"/>
        <w:rPr>
          <w:b/>
          <w:sz w:val="26"/>
          <w:szCs w:val="28"/>
        </w:rPr>
      </w:pPr>
      <w:r>
        <w:rPr>
          <w:b/>
          <w:sz w:val="26"/>
          <w:szCs w:val="28"/>
        </w:rPr>
        <w:t>1. Đặc điểm tình hình:</w:t>
      </w:r>
    </w:p>
    <w:p w:rsidR="001F419E" w:rsidRDefault="001F419E" w:rsidP="008D2DD7">
      <w:pPr>
        <w:jc w:val="both"/>
        <w:rPr>
          <w:sz w:val="26"/>
          <w:szCs w:val="28"/>
        </w:rPr>
      </w:pPr>
      <w:r>
        <w:rPr>
          <w:sz w:val="26"/>
          <w:szCs w:val="28"/>
        </w:rPr>
        <w:t>1.1. Thuận lợi:</w:t>
      </w:r>
    </w:p>
    <w:p w:rsidR="001F419E" w:rsidRDefault="001F419E" w:rsidP="008D2DD7">
      <w:pPr>
        <w:jc w:val="both"/>
        <w:rPr>
          <w:sz w:val="26"/>
          <w:szCs w:val="28"/>
        </w:rPr>
      </w:pPr>
      <w:r>
        <w:rPr>
          <w:sz w:val="26"/>
          <w:szCs w:val="28"/>
        </w:rPr>
        <w:t>1.2. Khó khăn:</w:t>
      </w:r>
    </w:p>
    <w:p w:rsidR="001F419E" w:rsidRDefault="001F419E" w:rsidP="008D2DD7">
      <w:pPr>
        <w:jc w:val="both"/>
        <w:rPr>
          <w:b/>
          <w:sz w:val="26"/>
          <w:szCs w:val="28"/>
        </w:rPr>
      </w:pPr>
      <w:r>
        <w:rPr>
          <w:b/>
          <w:sz w:val="26"/>
          <w:szCs w:val="28"/>
        </w:rPr>
        <w:t>2. Hoạt động chuyên môn:</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3. Giáo dục truyền thống:</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4. Đầu tư cơ sở vật chất, trang thiết bị:</w:t>
      </w:r>
    </w:p>
    <w:p w:rsidR="001F419E" w:rsidRDefault="001F419E" w:rsidP="008D2DD7">
      <w:pPr>
        <w:jc w:val="both"/>
        <w:rPr>
          <w:sz w:val="26"/>
          <w:szCs w:val="28"/>
        </w:rPr>
      </w:pPr>
      <w:r>
        <w:rPr>
          <w:sz w:val="26"/>
          <w:szCs w:val="28"/>
        </w:rPr>
        <w:t>- Dự án Thợ điện xanh do công ty Schneider Electric viện trợ: 430.000 USD.</w:t>
      </w:r>
    </w:p>
    <w:p w:rsidR="001F419E" w:rsidRPr="001F419E" w:rsidRDefault="001F419E" w:rsidP="008D2DD7">
      <w:pPr>
        <w:jc w:val="both"/>
        <w:rPr>
          <w:sz w:val="26"/>
          <w:szCs w:val="28"/>
        </w:rPr>
      </w:pPr>
      <w:r>
        <w:rPr>
          <w:sz w:val="26"/>
          <w:szCs w:val="28"/>
        </w:rPr>
        <w:t>- Dự án Kone do</w:t>
      </w:r>
      <w:r w:rsidR="00FD0511">
        <w:rPr>
          <w:sz w:val="26"/>
          <w:szCs w:val="28"/>
        </w:rPr>
        <w:t xml:space="preserve"> công ty Kone Việt Nam tài trợ: 424.826 EURO</w:t>
      </w:r>
    </w:p>
    <w:p w:rsidR="001F419E" w:rsidRDefault="001F419E" w:rsidP="008D2DD7">
      <w:pPr>
        <w:jc w:val="both"/>
        <w:rPr>
          <w:b/>
          <w:sz w:val="26"/>
          <w:szCs w:val="28"/>
        </w:rPr>
      </w:pPr>
      <w:r>
        <w:rPr>
          <w:b/>
          <w:sz w:val="26"/>
          <w:szCs w:val="28"/>
        </w:rPr>
        <w:t>5. Đào tạo, bồi dưỡng đội ngũ cán bộ, giáo viên, nhân viên:</w:t>
      </w:r>
    </w:p>
    <w:p w:rsidR="00FD0511" w:rsidRDefault="00FD0511" w:rsidP="008D2DD7">
      <w:pPr>
        <w:jc w:val="both"/>
        <w:rPr>
          <w:sz w:val="26"/>
          <w:szCs w:val="28"/>
        </w:rPr>
      </w:pPr>
      <w:r>
        <w:rPr>
          <w:sz w:val="26"/>
          <w:szCs w:val="28"/>
        </w:rPr>
        <w:t>- Dự án do Hiệp hội năng lượng không biên giới (ESF), Pháp tài trợ đã bồi dưỡng được 25 giáo viên</w:t>
      </w:r>
    </w:p>
    <w:p w:rsidR="001F419E" w:rsidRPr="00FD0511" w:rsidRDefault="00FD0511" w:rsidP="008D2DD7">
      <w:pPr>
        <w:jc w:val="both"/>
        <w:rPr>
          <w:sz w:val="26"/>
          <w:szCs w:val="28"/>
        </w:rPr>
      </w:pPr>
      <w:r>
        <w:rPr>
          <w:sz w:val="26"/>
          <w:szCs w:val="28"/>
        </w:rPr>
        <w:t>- Trong dự án Thợ điện xanh đã bồi dưỡng được 10 giáo viên.</w:t>
      </w:r>
    </w:p>
    <w:p w:rsidR="001F419E" w:rsidRDefault="001F419E" w:rsidP="008D2DD7">
      <w:pPr>
        <w:jc w:val="both"/>
        <w:rPr>
          <w:b/>
          <w:sz w:val="26"/>
          <w:szCs w:val="28"/>
        </w:rPr>
      </w:pPr>
      <w:r>
        <w:rPr>
          <w:b/>
          <w:sz w:val="26"/>
          <w:szCs w:val="28"/>
        </w:rPr>
        <w:t>6. Các hoạt động đóng góp khác bằng hình thức xã hội hóa:</w:t>
      </w:r>
    </w:p>
    <w:p w:rsidR="001F419E" w:rsidRDefault="00FD0511" w:rsidP="008D2DD7">
      <w:pPr>
        <w:jc w:val="both"/>
        <w:rPr>
          <w:b/>
          <w:sz w:val="26"/>
          <w:szCs w:val="28"/>
        </w:rPr>
      </w:pPr>
      <w:r>
        <w:rPr>
          <w:b/>
          <w:sz w:val="26"/>
          <w:szCs w:val="28"/>
        </w:rPr>
        <w:t xml:space="preserve">- </w:t>
      </w:r>
      <w:r>
        <w:rPr>
          <w:sz w:val="26"/>
          <w:szCs w:val="28"/>
        </w:rPr>
        <w:t>Dự án do Hiệp hội năng lượng không biên giới (ESF), Pháp tài trợ</w:t>
      </w:r>
      <w:r>
        <w:rPr>
          <w:sz w:val="26"/>
          <w:szCs w:val="28"/>
        </w:rPr>
        <w:t xml:space="preserve"> đã đào tạo được cho 112 em có hoàn cảnh khó khăn và bộ đội xuất ngũ chưa có việc làm trong tổng số 137 em đăng ký tham gia khóa đào tạo nghề Điện.</w:t>
      </w:r>
      <w:bookmarkStart w:id="0" w:name="_GoBack"/>
      <w:bookmarkEnd w:id="0"/>
    </w:p>
    <w:p w:rsidR="001F419E" w:rsidRDefault="001F419E" w:rsidP="008D2DD7">
      <w:pPr>
        <w:jc w:val="both"/>
        <w:rPr>
          <w:b/>
          <w:sz w:val="26"/>
          <w:szCs w:val="28"/>
        </w:rPr>
      </w:pPr>
      <w:r>
        <w:rPr>
          <w:b/>
          <w:sz w:val="26"/>
          <w:szCs w:val="28"/>
        </w:rPr>
        <w:t>7. Đánh giá kết quả thực hiện giai đoạn 2006-2016:</w:t>
      </w:r>
    </w:p>
    <w:p w:rsidR="001F419E" w:rsidRDefault="001F419E" w:rsidP="008D2DD7">
      <w:pPr>
        <w:jc w:val="both"/>
        <w:rPr>
          <w:sz w:val="26"/>
          <w:szCs w:val="28"/>
        </w:rPr>
      </w:pPr>
      <w:r>
        <w:rPr>
          <w:sz w:val="26"/>
          <w:szCs w:val="28"/>
        </w:rPr>
        <w:t>7.1. Mặt được:</w:t>
      </w:r>
    </w:p>
    <w:p w:rsidR="001F419E" w:rsidRDefault="001F419E" w:rsidP="008D2DD7">
      <w:pPr>
        <w:jc w:val="both"/>
        <w:rPr>
          <w:sz w:val="26"/>
          <w:szCs w:val="28"/>
        </w:rPr>
      </w:pPr>
      <w:r>
        <w:rPr>
          <w:sz w:val="26"/>
          <w:szCs w:val="28"/>
        </w:rPr>
        <w:t>7.2. Mặt hạn chế:</w:t>
      </w:r>
    </w:p>
    <w:p w:rsidR="001F419E" w:rsidRDefault="001F419E" w:rsidP="008D2DD7">
      <w:pPr>
        <w:jc w:val="both"/>
        <w:rPr>
          <w:b/>
          <w:sz w:val="26"/>
          <w:szCs w:val="28"/>
        </w:rPr>
      </w:pPr>
      <w:r>
        <w:rPr>
          <w:b/>
          <w:sz w:val="26"/>
          <w:szCs w:val="28"/>
        </w:rPr>
        <w:t>8. Đề xuất, kiến nghị:</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II. Các đề án – Kế hoạch của nhà trường theo hình thức xã hội hóa đang triển khai giai đoạn 2006-2016</w:t>
      </w:r>
    </w:p>
    <w:tbl>
      <w:tblPr>
        <w:tblStyle w:val="TableGrid"/>
        <w:tblW w:w="0" w:type="auto"/>
        <w:tblLook w:val="04A0" w:firstRow="1" w:lastRow="0" w:firstColumn="1" w:lastColumn="0" w:noHBand="0" w:noVBand="1"/>
      </w:tblPr>
      <w:tblGrid>
        <w:gridCol w:w="817"/>
        <w:gridCol w:w="2693"/>
        <w:gridCol w:w="2268"/>
        <w:gridCol w:w="2410"/>
        <w:gridCol w:w="1275"/>
      </w:tblGrid>
      <w:tr w:rsidR="001F419E" w:rsidTr="001F419E">
        <w:tc>
          <w:tcPr>
            <w:tcW w:w="817" w:type="dxa"/>
            <w:vAlign w:val="center"/>
          </w:tcPr>
          <w:p w:rsidR="001F419E" w:rsidRDefault="001F419E" w:rsidP="001F419E">
            <w:pPr>
              <w:jc w:val="center"/>
              <w:rPr>
                <w:b/>
                <w:sz w:val="26"/>
                <w:szCs w:val="28"/>
              </w:rPr>
            </w:pPr>
            <w:r>
              <w:rPr>
                <w:b/>
                <w:sz w:val="26"/>
                <w:szCs w:val="28"/>
              </w:rPr>
              <w:t>Stt</w:t>
            </w:r>
          </w:p>
        </w:tc>
        <w:tc>
          <w:tcPr>
            <w:tcW w:w="2693" w:type="dxa"/>
            <w:vAlign w:val="center"/>
          </w:tcPr>
          <w:p w:rsidR="001F419E" w:rsidRDefault="001F419E" w:rsidP="001F419E">
            <w:pPr>
              <w:jc w:val="center"/>
              <w:rPr>
                <w:b/>
                <w:sz w:val="26"/>
                <w:szCs w:val="28"/>
              </w:rPr>
            </w:pPr>
            <w:r>
              <w:rPr>
                <w:b/>
                <w:sz w:val="26"/>
                <w:szCs w:val="28"/>
              </w:rPr>
              <w:t>Tên đề án – Kế hoạch</w:t>
            </w:r>
          </w:p>
        </w:tc>
        <w:tc>
          <w:tcPr>
            <w:tcW w:w="2268" w:type="dxa"/>
            <w:vAlign w:val="center"/>
          </w:tcPr>
          <w:p w:rsidR="001F419E" w:rsidRDefault="001F419E" w:rsidP="001F419E">
            <w:pPr>
              <w:jc w:val="center"/>
              <w:rPr>
                <w:b/>
                <w:sz w:val="26"/>
                <w:szCs w:val="28"/>
              </w:rPr>
            </w:pPr>
            <w:r>
              <w:rPr>
                <w:b/>
                <w:sz w:val="26"/>
                <w:szCs w:val="28"/>
              </w:rPr>
              <w:t>Thời gian triển khai (thời gian bắt đầu - kết thúc)</w:t>
            </w:r>
          </w:p>
        </w:tc>
        <w:tc>
          <w:tcPr>
            <w:tcW w:w="2410" w:type="dxa"/>
            <w:vAlign w:val="center"/>
          </w:tcPr>
          <w:p w:rsidR="001F419E" w:rsidRDefault="001F419E" w:rsidP="001F419E">
            <w:pPr>
              <w:jc w:val="center"/>
              <w:rPr>
                <w:b/>
                <w:sz w:val="26"/>
                <w:szCs w:val="28"/>
              </w:rPr>
            </w:pPr>
            <w:r>
              <w:rPr>
                <w:b/>
                <w:sz w:val="26"/>
                <w:szCs w:val="28"/>
              </w:rPr>
              <w:t>Đơn vị tài trợ, viện trợ HOẶC Đơn vị phối hợp</w:t>
            </w:r>
          </w:p>
        </w:tc>
        <w:tc>
          <w:tcPr>
            <w:tcW w:w="1275" w:type="dxa"/>
            <w:vAlign w:val="center"/>
          </w:tcPr>
          <w:p w:rsidR="001F419E" w:rsidRDefault="001F419E" w:rsidP="001F419E">
            <w:pPr>
              <w:jc w:val="center"/>
              <w:rPr>
                <w:b/>
                <w:sz w:val="26"/>
                <w:szCs w:val="28"/>
              </w:rPr>
            </w:pPr>
            <w:r>
              <w:rPr>
                <w:b/>
                <w:sz w:val="26"/>
                <w:szCs w:val="28"/>
              </w:rPr>
              <w:t>Ghi chú</w:t>
            </w:r>
          </w:p>
        </w:tc>
      </w:tr>
      <w:tr w:rsidR="001F419E" w:rsidTr="001F419E">
        <w:tc>
          <w:tcPr>
            <w:tcW w:w="817" w:type="dxa"/>
          </w:tcPr>
          <w:p w:rsidR="001F419E" w:rsidRDefault="001F419E" w:rsidP="008D2DD7">
            <w:pPr>
              <w:jc w:val="both"/>
              <w:rPr>
                <w:b/>
                <w:sz w:val="26"/>
                <w:szCs w:val="28"/>
              </w:rPr>
            </w:pPr>
          </w:p>
        </w:tc>
        <w:tc>
          <w:tcPr>
            <w:tcW w:w="2693" w:type="dxa"/>
          </w:tcPr>
          <w:p w:rsidR="001F419E" w:rsidRDefault="001F419E" w:rsidP="008D2DD7">
            <w:pPr>
              <w:jc w:val="both"/>
              <w:rPr>
                <w:b/>
                <w:sz w:val="26"/>
                <w:szCs w:val="28"/>
              </w:rPr>
            </w:pPr>
          </w:p>
        </w:tc>
        <w:tc>
          <w:tcPr>
            <w:tcW w:w="2268" w:type="dxa"/>
          </w:tcPr>
          <w:p w:rsidR="001F419E" w:rsidRDefault="001F419E" w:rsidP="008D2DD7">
            <w:pPr>
              <w:jc w:val="both"/>
              <w:rPr>
                <w:b/>
                <w:sz w:val="26"/>
                <w:szCs w:val="28"/>
              </w:rPr>
            </w:pPr>
          </w:p>
        </w:tc>
        <w:tc>
          <w:tcPr>
            <w:tcW w:w="2410" w:type="dxa"/>
          </w:tcPr>
          <w:p w:rsidR="001F419E" w:rsidRDefault="001F419E" w:rsidP="008D2DD7">
            <w:pPr>
              <w:jc w:val="both"/>
              <w:rPr>
                <w:b/>
                <w:sz w:val="26"/>
                <w:szCs w:val="28"/>
              </w:rPr>
            </w:pPr>
          </w:p>
        </w:tc>
        <w:tc>
          <w:tcPr>
            <w:tcW w:w="1275" w:type="dxa"/>
          </w:tcPr>
          <w:p w:rsidR="001F419E" w:rsidRDefault="001F419E" w:rsidP="008D2DD7">
            <w:pPr>
              <w:jc w:val="both"/>
              <w:rPr>
                <w:b/>
                <w:sz w:val="26"/>
                <w:szCs w:val="28"/>
              </w:rPr>
            </w:pPr>
          </w:p>
        </w:tc>
      </w:tr>
      <w:tr w:rsidR="001F419E" w:rsidTr="001F419E">
        <w:tc>
          <w:tcPr>
            <w:tcW w:w="817" w:type="dxa"/>
          </w:tcPr>
          <w:p w:rsidR="001F419E" w:rsidRDefault="001F419E" w:rsidP="008D2DD7">
            <w:pPr>
              <w:jc w:val="both"/>
              <w:rPr>
                <w:b/>
                <w:sz w:val="26"/>
                <w:szCs w:val="28"/>
              </w:rPr>
            </w:pPr>
          </w:p>
        </w:tc>
        <w:tc>
          <w:tcPr>
            <w:tcW w:w="2693" w:type="dxa"/>
          </w:tcPr>
          <w:p w:rsidR="001F419E" w:rsidRDefault="001F419E" w:rsidP="008D2DD7">
            <w:pPr>
              <w:jc w:val="both"/>
              <w:rPr>
                <w:b/>
                <w:sz w:val="26"/>
                <w:szCs w:val="28"/>
              </w:rPr>
            </w:pPr>
          </w:p>
        </w:tc>
        <w:tc>
          <w:tcPr>
            <w:tcW w:w="2268" w:type="dxa"/>
          </w:tcPr>
          <w:p w:rsidR="001F419E" w:rsidRDefault="001F419E" w:rsidP="008D2DD7">
            <w:pPr>
              <w:jc w:val="both"/>
              <w:rPr>
                <w:b/>
                <w:sz w:val="26"/>
                <w:szCs w:val="28"/>
              </w:rPr>
            </w:pPr>
          </w:p>
        </w:tc>
        <w:tc>
          <w:tcPr>
            <w:tcW w:w="2410" w:type="dxa"/>
          </w:tcPr>
          <w:p w:rsidR="001F419E" w:rsidRDefault="001F419E" w:rsidP="008D2DD7">
            <w:pPr>
              <w:jc w:val="both"/>
              <w:rPr>
                <w:b/>
                <w:sz w:val="26"/>
                <w:szCs w:val="28"/>
              </w:rPr>
            </w:pPr>
          </w:p>
        </w:tc>
        <w:tc>
          <w:tcPr>
            <w:tcW w:w="1275" w:type="dxa"/>
          </w:tcPr>
          <w:p w:rsidR="001F419E" w:rsidRDefault="001F419E" w:rsidP="008D2DD7">
            <w:pPr>
              <w:jc w:val="both"/>
              <w:rPr>
                <w:b/>
                <w:sz w:val="26"/>
                <w:szCs w:val="28"/>
              </w:rPr>
            </w:pPr>
          </w:p>
        </w:tc>
      </w:tr>
      <w:tr w:rsidR="001F419E" w:rsidTr="001F419E">
        <w:tc>
          <w:tcPr>
            <w:tcW w:w="817" w:type="dxa"/>
          </w:tcPr>
          <w:p w:rsidR="001F419E" w:rsidRDefault="001F419E" w:rsidP="008D2DD7">
            <w:pPr>
              <w:jc w:val="both"/>
              <w:rPr>
                <w:b/>
                <w:sz w:val="26"/>
                <w:szCs w:val="28"/>
              </w:rPr>
            </w:pPr>
          </w:p>
        </w:tc>
        <w:tc>
          <w:tcPr>
            <w:tcW w:w="2693" w:type="dxa"/>
          </w:tcPr>
          <w:p w:rsidR="001F419E" w:rsidRDefault="001F419E" w:rsidP="008D2DD7">
            <w:pPr>
              <w:jc w:val="both"/>
              <w:rPr>
                <w:b/>
                <w:sz w:val="26"/>
                <w:szCs w:val="28"/>
              </w:rPr>
            </w:pPr>
          </w:p>
        </w:tc>
        <w:tc>
          <w:tcPr>
            <w:tcW w:w="2268" w:type="dxa"/>
          </w:tcPr>
          <w:p w:rsidR="001F419E" w:rsidRDefault="001F419E" w:rsidP="008D2DD7">
            <w:pPr>
              <w:jc w:val="both"/>
              <w:rPr>
                <w:b/>
                <w:sz w:val="26"/>
                <w:szCs w:val="28"/>
              </w:rPr>
            </w:pPr>
          </w:p>
        </w:tc>
        <w:tc>
          <w:tcPr>
            <w:tcW w:w="2410" w:type="dxa"/>
          </w:tcPr>
          <w:p w:rsidR="001F419E" w:rsidRDefault="001F419E" w:rsidP="008D2DD7">
            <w:pPr>
              <w:jc w:val="both"/>
              <w:rPr>
                <w:b/>
                <w:sz w:val="26"/>
                <w:szCs w:val="28"/>
              </w:rPr>
            </w:pPr>
          </w:p>
        </w:tc>
        <w:tc>
          <w:tcPr>
            <w:tcW w:w="1275" w:type="dxa"/>
          </w:tcPr>
          <w:p w:rsidR="001F419E" w:rsidRDefault="001F419E" w:rsidP="008D2DD7">
            <w:pPr>
              <w:jc w:val="both"/>
              <w:rPr>
                <w:b/>
                <w:sz w:val="26"/>
                <w:szCs w:val="28"/>
              </w:rPr>
            </w:pPr>
          </w:p>
        </w:tc>
      </w:tr>
    </w:tbl>
    <w:p w:rsidR="001F419E" w:rsidRPr="001F419E" w:rsidRDefault="001F419E" w:rsidP="008D2DD7">
      <w:pPr>
        <w:jc w:val="both"/>
        <w:rPr>
          <w:b/>
          <w:sz w:val="26"/>
          <w:szCs w:val="28"/>
        </w:rPr>
      </w:pPr>
    </w:p>
    <w:p w:rsidR="008D2DD7" w:rsidRPr="008D2DD7" w:rsidRDefault="008D2DD7">
      <w:pPr>
        <w:jc w:val="center"/>
        <w:rPr>
          <w:b/>
          <w:sz w:val="28"/>
          <w:szCs w:val="28"/>
        </w:rPr>
      </w:pPr>
    </w:p>
    <w:sectPr w:rsidR="008D2DD7" w:rsidRPr="008D2DD7" w:rsidSect="008D2DD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DD7"/>
    <w:rsid w:val="001F419E"/>
    <w:rsid w:val="00345650"/>
    <w:rsid w:val="008D2DD7"/>
    <w:rsid w:val="00FD051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D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D2DD7"/>
    <w:pPr>
      <w:outlineLvl w:val="0"/>
    </w:pPr>
  </w:style>
  <w:style w:type="paragraph" w:styleId="Heading2">
    <w:name w:val="heading 2"/>
    <w:basedOn w:val="Normal"/>
    <w:next w:val="Normal"/>
    <w:link w:val="Heading2Char"/>
    <w:qFormat/>
    <w:rsid w:val="008D2DD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2DD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8D2DD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F419E"/>
    <w:pPr>
      <w:ind w:left="720"/>
      <w:contextualSpacing/>
    </w:pPr>
  </w:style>
  <w:style w:type="table" w:styleId="TableGrid">
    <w:name w:val="Table Grid"/>
    <w:basedOn w:val="TableNormal"/>
    <w:uiPriority w:val="59"/>
    <w:rsid w:val="001F4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D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D2DD7"/>
    <w:pPr>
      <w:outlineLvl w:val="0"/>
    </w:pPr>
  </w:style>
  <w:style w:type="paragraph" w:styleId="Heading2">
    <w:name w:val="heading 2"/>
    <w:basedOn w:val="Normal"/>
    <w:next w:val="Normal"/>
    <w:link w:val="Heading2Char"/>
    <w:qFormat/>
    <w:rsid w:val="008D2DD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2DD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8D2DD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F419E"/>
    <w:pPr>
      <w:ind w:left="720"/>
      <w:contextualSpacing/>
    </w:pPr>
  </w:style>
  <w:style w:type="table" w:styleId="TableGrid">
    <w:name w:val="Table Grid"/>
    <w:basedOn w:val="TableNormal"/>
    <w:uiPriority w:val="59"/>
    <w:rsid w:val="001F4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2017-02-24T02:03:00Z</dcterms:created>
  <dcterms:modified xsi:type="dcterms:W3CDTF">2017-02-24T02:42:00Z</dcterms:modified>
</cp:coreProperties>
</file>